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E8" w:rsidRDefault="00223AE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D27DD" w:rsidRDefault="008C62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BILANȚ AL ACTIVITĂȚII EXTRAȘCOLARE </w:t>
      </w:r>
    </w:p>
    <w:p w:rsidR="00FD27DD" w:rsidRDefault="008C62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 ȘCOLAR 20</w:t>
      </w:r>
      <w:r w:rsidR="00300092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6B5E96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300092">
        <w:rPr>
          <w:rFonts w:ascii="Times New Roman" w:eastAsia="Times New Roman" w:hAnsi="Times New Roman" w:cs="Times New Roman"/>
          <w:b/>
          <w:i/>
          <w:sz w:val="24"/>
          <w:szCs w:val="24"/>
        </w:rPr>
        <w:t>-202</w:t>
      </w:r>
      <w:r w:rsidR="006B5E96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a"/>
        <w:tblW w:w="5787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2410"/>
        <w:gridCol w:w="2702"/>
      </w:tblGrid>
      <w:tr w:rsidR="00DA6710" w:rsidTr="00903FBF">
        <w:tc>
          <w:tcPr>
            <w:tcW w:w="6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A6710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A6710" w:rsidRDefault="00DA6710">
            <w:pPr>
              <w:tabs>
                <w:tab w:val="left" w:pos="-108"/>
              </w:tabs>
              <w:spacing w:after="0" w:line="240" w:lineRule="auto"/>
              <w:ind w:left="-1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</w:p>
        </w:tc>
        <w:tc>
          <w:tcPr>
            <w:tcW w:w="27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A6710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C.C. CÂMPINA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Organigramă </w:t>
            </w:r>
          </w:p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DA6710" w:rsidRPr="00EB027E" w:rsidRDefault="0059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15.67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norme, din care:</w:t>
            </w:r>
          </w:p>
          <w:p w:rsidR="00DA6710" w:rsidRPr="00EB027E" w:rsidRDefault="0059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11.92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norme didactic</w:t>
            </w:r>
          </w:p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5 norme did.auxiliar</w:t>
            </w:r>
          </w:p>
          <w:p w:rsidR="00DA6710" w:rsidRPr="00EB027E" w:rsidRDefault="004E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 nedidactic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  Programe de studiu și planificări calendaristice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Documentele sunt elaborate și aprobate conform </w:t>
            </w:r>
            <w:r w:rsidR="00B16EA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3B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A7">
              <w:rPr>
                <w:rFonts w:ascii="Times New Roman" w:hAnsi="Times New Roman" w:cs="Times New Roman"/>
                <w:sz w:val="24"/>
                <w:szCs w:val="24"/>
              </w:rPr>
              <w:t>nr.6224/2023</w:t>
            </w:r>
          </w:p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 proiecte CAEN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3B4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 proiecte CAER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4E0C6E" w:rsidP="00A2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 proiecte CAEJ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3B4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 proiecte CAEN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3B40D2" w:rsidP="0008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 proiecte CAER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 w:rsidP="0008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 proiecte CAEJ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3B40D2" w:rsidP="0008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Participări la concursuri internaționale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2F5EAA" w:rsidP="002F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Patru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ale cercu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rilor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Muzică Populară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Cultură și civilizație franceză și Matematică aplicată în tehnică de calcul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Clubul Copiilor Câmpina</w:t>
            </w:r>
          </w:p>
        </w:tc>
      </w:tr>
      <w:tr w:rsidR="00DA6710" w:rsidRPr="00EB027E" w:rsidTr="00903FBF">
        <w:tc>
          <w:tcPr>
            <w:tcW w:w="67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Participări la concursuri naționale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2F5EAA" w:rsidP="004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Cincisprez</w:t>
            </w:r>
            <w:r w:rsidR="00F47A6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ece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prin cercu</w:t>
            </w:r>
            <w:r w:rsidR="00F47A6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rile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Muzică 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Populară</w:t>
            </w:r>
            <w:r w:rsidR="00F47A6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66E5C">
              <w:rPr>
                <w:rFonts w:ascii="Times New Roman" w:eastAsia="Times New Roman" w:hAnsi="Times New Roman" w:cs="Times New Roman"/>
                <w:sz w:val="24"/>
                <w:szCs w:val="24"/>
              </w:rPr>
              <w:t>Cultură și civilizație franceză, Atelierul Fanteziei și Oratorie și dezbateri</w:t>
            </w:r>
            <w:r w:rsidR="004E0C6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Clubul Copiilor Câmpina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Participări la concursuri regionale și județene</w:t>
            </w:r>
          </w:p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466E5C" w:rsidP="004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Douăzeci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 de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prin cercu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rile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Creație Confec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ții, Muzică vocal – instrumentală, Cultură și civilizație franceză,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Muzică Populară</w:t>
            </w:r>
            <w:r w:rsidR="00F47A6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Atelierul Fanteziei, Oratorie și dezbateri</w:t>
            </w:r>
            <w:r w:rsidR="00F47A6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Clubul Copiilor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âmpina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cercurile de Muzică Populară</w:t>
            </w:r>
            <w:r w:rsidR="00AA2F36">
              <w:rPr>
                <w:rFonts w:ascii="Times New Roman" w:eastAsia="Times New Roman" w:hAnsi="Times New Roman" w:cs="Times New Roman"/>
                <w:sz w:val="24"/>
                <w:szCs w:val="24"/>
              </w:rPr>
              <w:t>, Educaț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 pentru cetățenie democratică de la Clubul Copiilor Breaza.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Cercuri pedagogice și activități metodice la nivel județean 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AA2F36" w:rsidP="00B9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activitat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metodic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cercul de Educație pentru cetățenie democratică și cercul de Muzică Populară din Clubul Copiilor Breaza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douăzeci și două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 de formare prin cercurile de Muzică Populară</w:t>
            </w:r>
            <w:r w:rsidR="00903FB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Cultură și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903FB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ivilizație franceză, , Oratorie și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ezbateri, Matematică aplicată în tehnică de calcul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Clubul Copiilor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âmpina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Educație 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Pentru Cetățenie D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emocratică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și Karate </w:t>
            </w:r>
            <w:r w:rsidR="00777E8C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de la Clubul Copiilor Breaza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participare la </w:t>
            </w:r>
            <w:r w:rsidR="00B92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cinci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cercuri pedagogice a cercu</w:t>
            </w:r>
            <w:r w:rsidR="00B9232A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Muzică populară</w:t>
            </w:r>
            <w:r w:rsidR="00B92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</w:t>
            </w:r>
            <w:r w:rsidR="00B92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lubul Copiilor Câmpina și Educaț</w:t>
            </w:r>
            <w:r w:rsidR="00B92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pentru cetățenie democratică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de la Clubul Copiilor Breaza.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EAA" w:rsidRDefault="002F5EAA" w:rsidP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710" w:rsidRPr="00EB027E" w:rsidRDefault="00DA6710" w:rsidP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Evenimente realizate în parteneriat cu autoritățile locale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B9232A" w:rsidP="00CE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Patruzeci și unu de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activități prin cercu</w:t>
            </w:r>
            <w:r w:rsidR="00232F3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rile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Muzică vocal – instrumentală,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Muzică Populară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Atelierul Fanteziei, Carting, Educație pentru cetățenie democratică, Oratorie și dezbateri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evenimente organizate de Primăria Municipiului Câmpina,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Primăria Cornu,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 Cornu </w:t>
            </w:r>
            <w:r w:rsidR="00232F3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Căminul Cultural Cornu, Căminul Cultural Adunați, Muzeul B. P. Hașdeu, Fundația Zamolxes, CAR Câmpina, Universitatea Petrol și Gaze Ploiești, </w:t>
            </w:r>
            <w:r w:rsidR="00232F3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 Municipală Câmpina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>asa de Cultură Geo Bogza Câmpina, Casa Tineretului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Câmpina, Centrul de Excelență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Pentru C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>opii și Tineret a Bibliotecii J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udețene George Barițiu Brașov, C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onsiliul Local Câmpina, Asociația Apicolă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Valea Prahovei, </w:t>
            </w:r>
            <w:r w:rsidR="00232F3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Primăria Breaza, </w:t>
            </w:r>
            <w:r w:rsidR="00903FB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Centrul Cu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03FB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tural Ion Manolescu Breaza 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Biserica Înălțarea Domnului Cornu de Sus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 w:rsidP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Manifestări educaționale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4F" w:rsidRPr="00EB027E" w:rsidRDefault="00CE6235" w:rsidP="00F0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Catedrele de Cultură și civilizație f</w:t>
            </w:r>
            <w:r w:rsidR="009462D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ranceză,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Educație pentru c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etățeni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emocratică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Creație c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onfecții,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elierul Fanteziei, Oratorie și dezbateri, Muzică p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opular</w:t>
            </w:r>
            <w:r w:rsidR="000645F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Muzică vocal - i</w:t>
            </w:r>
            <w:r w:rsidR="00060AE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nstrumentală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A6710" w:rsidRPr="00EB027E" w:rsidRDefault="00EB027E" w:rsidP="007B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Carting, 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Karate,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Dans modern, Matematică a</w:t>
            </w:r>
            <w:r w:rsidR="000645F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plicată în 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>tehnică de c</w:t>
            </w:r>
            <w:r w:rsidR="000645FE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alcul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710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r w:rsidR="009462D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inregistrat 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>o sută treizeci și patru</w:t>
            </w:r>
            <w:r w:rsidR="009462D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9462D8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mente constând în </w:t>
            </w:r>
            <w:r w:rsidR="00300092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concursuri online, lecții deschise</w:t>
            </w:r>
            <w:r w:rsidR="009E2CA5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, expoziții, dezbateri</w:t>
            </w:r>
            <w:r w:rsidR="005C483B">
              <w:rPr>
                <w:rFonts w:ascii="Times New Roman" w:eastAsia="Times New Roman" w:hAnsi="Times New Roman" w:cs="Times New Roman"/>
                <w:sz w:val="24"/>
                <w:szCs w:val="24"/>
              </w:rPr>
              <w:t>, activități în cadrul unor proiecte</w:t>
            </w:r>
            <w:r w:rsidR="007B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educaționale, activități de voluntariat, comunicări științifice, spectacole, serbări, simpozioane, conferințe, sesiuni de comunicări, webinare, workshop-uri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710" w:rsidRPr="00EB027E" w:rsidTr="00903FBF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10" w:rsidRPr="00EB027E" w:rsidRDefault="00DA6710" w:rsidP="00DA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DA6710">
            <w:pPr>
              <w:tabs>
                <w:tab w:val="center" w:pos="-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 Media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6710" w:rsidRPr="00EB027E" w:rsidRDefault="007B42A8" w:rsidP="007B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cercului de Muzică P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opulară de la Clubul Copiilor Câmpina la emisiun</w:t>
            </w:r>
            <w:r w:rsidR="005D5C21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C21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Inedit TV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șase publicații</w:t>
            </w:r>
            <w:r w:rsidR="00CE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reviste,  prin cercurile de Cultură și civilizație franceză și Oratorie și dezbateri de la Clubul Copiilor Câmpina. </w:t>
            </w:r>
            <w:r w:rsidR="005D5C21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D27DD" w:rsidRPr="00EB027E" w:rsidRDefault="00FD27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567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09"/>
        <w:gridCol w:w="2410"/>
        <w:gridCol w:w="2552"/>
      </w:tblGrid>
      <w:tr w:rsidR="00DA6710" w:rsidRPr="00EB027E" w:rsidTr="00DA6710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710" w:rsidRPr="00EB027E" w:rsidRDefault="00DA6710" w:rsidP="00DA6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710" w:rsidRPr="00EB027E" w:rsidRDefault="00DA67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Proiecte internaționale</w:t>
            </w: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710" w:rsidRPr="00EB027E" w:rsidRDefault="00C857B1" w:rsidP="00422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</w:t>
            </w:r>
            <w:r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>are la proiect internațional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cercului de </w:t>
            </w:r>
            <w:r w:rsidR="00422BBB">
              <w:rPr>
                <w:rFonts w:ascii="Times New Roman" w:eastAsia="Times New Roman" w:hAnsi="Times New Roman" w:cs="Times New Roman"/>
                <w:sz w:val="24"/>
                <w:szCs w:val="24"/>
              </w:rPr>
              <w:t>Cultură și civilizație franceză</w:t>
            </w:r>
            <w:r w:rsidR="0083533F" w:rsidRPr="00EB0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Clubul Copiilor Câmpina.</w:t>
            </w:r>
          </w:p>
        </w:tc>
      </w:tr>
    </w:tbl>
    <w:p w:rsidR="00FD27DD" w:rsidRDefault="008C62A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FD27DD" w:rsidSect="003F0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8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D81" w:rsidRDefault="00576D81" w:rsidP="006B3EF8">
      <w:pPr>
        <w:spacing w:after="0" w:line="240" w:lineRule="auto"/>
      </w:pPr>
      <w:r>
        <w:separator/>
      </w:r>
    </w:p>
  </w:endnote>
  <w:endnote w:type="continuationSeparator" w:id="1">
    <w:p w:rsidR="00576D81" w:rsidRDefault="00576D81" w:rsidP="006B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D81" w:rsidRDefault="00576D81" w:rsidP="006B3EF8">
      <w:pPr>
        <w:spacing w:after="0" w:line="240" w:lineRule="auto"/>
      </w:pPr>
      <w:r>
        <w:separator/>
      </w:r>
    </w:p>
  </w:footnote>
  <w:footnote w:type="continuationSeparator" w:id="1">
    <w:p w:rsidR="00576D81" w:rsidRDefault="00576D81" w:rsidP="006B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740954" o:spid="_x0000_s10242" type="#_x0000_t136" style="position:absolute;margin-left:0;margin-top:0;width:679.4pt;height:92.6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740955" o:spid="_x0000_s10243" type="#_x0000_t136" style="position:absolute;margin-left:0;margin-top:0;width:679.4pt;height:92.6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CLUBUL COPIILOR CAMPIN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F8" w:rsidRDefault="006B3E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740953" o:spid="_x0000_s10241" type="#_x0000_t136" style="position:absolute;margin-left:0;margin-top:0;width:679.4pt;height:92.6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CLUBUL COPIILOR CAMPIN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9FE"/>
    <w:multiLevelType w:val="hybridMultilevel"/>
    <w:tmpl w:val="433A69D6"/>
    <w:lvl w:ilvl="0" w:tplc="9782D3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FD27DD"/>
    <w:rsid w:val="00060AE8"/>
    <w:rsid w:val="000645FE"/>
    <w:rsid w:val="00077AAF"/>
    <w:rsid w:val="00081E39"/>
    <w:rsid w:val="000B401B"/>
    <w:rsid w:val="001E2E9D"/>
    <w:rsid w:val="00223AE8"/>
    <w:rsid w:val="00232F32"/>
    <w:rsid w:val="002911D4"/>
    <w:rsid w:val="002F5EAA"/>
    <w:rsid w:val="00300092"/>
    <w:rsid w:val="00316386"/>
    <w:rsid w:val="003843E8"/>
    <w:rsid w:val="00391810"/>
    <w:rsid w:val="003B40D2"/>
    <w:rsid w:val="003F0BE5"/>
    <w:rsid w:val="00410DD5"/>
    <w:rsid w:val="00422BBB"/>
    <w:rsid w:val="00466E5C"/>
    <w:rsid w:val="004E0C6E"/>
    <w:rsid w:val="0053065C"/>
    <w:rsid w:val="00557615"/>
    <w:rsid w:val="00576D81"/>
    <w:rsid w:val="00597D4C"/>
    <w:rsid w:val="005C483B"/>
    <w:rsid w:val="005C7B4F"/>
    <w:rsid w:val="005D5C21"/>
    <w:rsid w:val="005F0D18"/>
    <w:rsid w:val="006908D0"/>
    <w:rsid w:val="006B3EF8"/>
    <w:rsid w:val="006B5E96"/>
    <w:rsid w:val="006E64F5"/>
    <w:rsid w:val="00777E8C"/>
    <w:rsid w:val="007B42A8"/>
    <w:rsid w:val="0083533F"/>
    <w:rsid w:val="00882849"/>
    <w:rsid w:val="008C62A1"/>
    <w:rsid w:val="00903FBF"/>
    <w:rsid w:val="009462D8"/>
    <w:rsid w:val="00955353"/>
    <w:rsid w:val="009875AA"/>
    <w:rsid w:val="009C62F6"/>
    <w:rsid w:val="009E2CA5"/>
    <w:rsid w:val="00A21CDA"/>
    <w:rsid w:val="00A5332F"/>
    <w:rsid w:val="00A57C5F"/>
    <w:rsid w:val="00AA2F36"/>
    <w:rsid w:val="00AE0A61"/>
    <w:rsid w:val="00B16EA7"/>
    <w:rsid w:val="00B9232A"/>
    <w:rsid w:val="00BC4756"/>
    <w:rsid w:val="00BF41CE"/>
    <w:rsid w:val="00C857B1"/>
    <w:rsid w:val="00CE6235"/>
    <w:rsid w:val="00DA6710"/>
    <w:rsid w:val="00E20B04"/>
    <w:rsid w:val="00E560B7"/>
    <w:rsid w:val="00EB027E"/>
    <w:rsid w:val="00F0706C"/>
    <w:rsid w:val="00F11660"/>
    <w:rsid w:val="00F47A68"/>
    <w:rsid w:val="00FD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5353"/>
  </w:style>
  <w:style w:type="paragraph" w:styleId="Heading1">
    <w:name w:val="heading 1"/>
    <w:basedOn w:val="Normal"/>
    <w:next w:val="Normal"/>
    <w:rsid w:val="009553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55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553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553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5535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55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5535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55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53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5535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21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B3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EF8"/>
  </w:style>
  <w:style w:type="paragraph" w:styleId="Footer">
    <w:name w:val="footer"/>
    <w:basedOn w:val="Normal"/>
    <w:link w:val="FooterChar"/>
    <w:uiPriority w:val="99"/>
    <w:semiHidden/>
    <w:unhideWhenUsed/>
    <w:rsid w:val="006B3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18</cp:revision>
  <cp:lastPrinted>2021-10-11T12:39:00Z</cp:lastPrinted>
  <dcterms:created xsi:type="dcterms:W3CDTF">2021-10-11T13:35:00Z</dcterms:created>
  <dcterms:modified xsi:type="dcterms:W3CDTF">2025-04-28T17:19:00Z</dcterms:modified>
</cp:coreProperties>
</file>